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500" w:type="dxa"/>
        <w:jc w:val="center"/>
        <w:tblCellSpacing w:w="0" w:type="dxa"/>
        <w:tblCellMar>
          <w:left w:w="0" w:type="dxa"/>
          <w:right w:w="0" w:type="dxa"/>
        </w:tblCellMar>
        <w:tblLook w:val="04A0"/>
      </w:tblPr>
      <w:tblGrid>
        <w:gridCol w:w="16500"/>
      </w:tblGrid>
      <w:tr w:rsidR="003A5812" w:rsidRPr="003A5812">
        <w:trPr>
          <w:trHeight w:val="1320"/>
          <w:tblCellSpacing w:w="0" w:type="dxa"/>
          <w:jc w:val="center"/>
        </w:trPr>
        <w:tc>
          <w:tcPr>
            <w:tcW w:w="0" w:type="auto"/>
            <w:shd w:val="clear" w:color="auto" w:fill="FFFFFF"/>
            <w:vAlign w:val="center"/>
            <w:hideMark/>
          </w:tcPr>
          <w:p w:rsidR="003A5812" w:rsidRPr="003A5812" w:rsidRDefault="003A5812" w:rsidP="003A5812">
            <w:pPr>
              <w:widowControl/>
              <w:spacing w:line="408" w:lineRule="auto"/>
              <w:jc w:val="center"/>
              <w:rPr>
                <w:rFonts w:ascii="微软雅黑" w:eastAsia="微软雅黑" w:hAnsi="微软雅黑" w:cs="宋体"/>
                <w:color w:val="666666"/>
                <w:kern w:val="0"/>
                <w:szCs w:val="21"/>
              </w:rPr>
            </w:pPr>
            <w:r w:rsidRPr="003A5812">
              <w:rPr>
                <w:rFonts w:ascii="微软雅黑" w:eastAsia="微软雅黑" w:hAnsi="微软雅黑" w:cs="宋体" w:hint="eastAsia"/>
                <w:b/>
                <w:bCs/>
                <w:color w:val="333333"/>
                <w:kern w:val="0"/>
                <w:sz w:val="36"/>
              </w:rPr>
              <w:t>成都市城乡建设委员会关于进一步加强建设工程质量检测管理工作的通知</w:t>
            </w:r>
          </w:p>
        </w:tc>
      </w:tr>
      <w:tr w:rsidR="003A5812" w:rsidRPr="003A5812">
        <w:trPr>
          <w:trHeight w:val="600"/>
          <w:tblCellSpacing w:w="0" w:type="dxa"/>
          <w:jc w:val="center"/>
        </w:trPr>
        <w:tc>
          <w:tcPr>
            <w:tcW w:w="16500" w:type="dxa"/>
            <w:shd w:val="clear" w:color="auto" w:fill="F3F3F3"/>
            <w:vAlign w:val="center"/>
            <w:hideMark/>
          </w:tcPr>
          <w:p w:rsidR="003A5812" w:rsidRPr="003A5812" w:rsidRDefault="003A5812" w:rsidP="003A5812">
            <w:pPr>
              <w:widowControl/>
              <w:spacing w:line="408" w:lineRule="auto"/>
              <w:jc w:val="center"/>
              <w:rPr>
                <w:rFonts w:ascii="微软雅黑" w:eastAsia="微软雅黑" w:hAnsi="微软雅黑" w:cs="宋体"/>
                <w:color w:val="666666"/>
                <w:kern w:val="0"/>
                <w:szCs w:val="21"/>
              </w:rPr>
            </w:pPr>
            <w:r w:rsidRPr="003A5812">
              <w:rPr>
                <w:rFonts w:ascii="微软雅黑" w:eastAsia="微软雅黑" w:hAnsi="微软雅黑" w:cs="宋体" w:hint="eastAsia"/>
                <w:color w:val="666666"/>
                <w:kern w:val="0"/>
                <w:szCs w:val="21"/>
              </w:rPr>
              <w:t>来源：质安处  作者：  发布时间：2017-01-25  浏览次数：809次   [字体：</w:t>
            </w:r>
            <w:hyperlink r:id="rId6" w:history="1">
              <w:r w:rsidRPr="003A5812">
                <w:rPr>
                  <w:rFonts w:ascii="微软雅黑" w:eastAsia="微软雅黑" w:hAnsi="微软雅黑" w:cs="宋体" w:hint="eastAsia"/>
                  <w:color w:val="333333"/>
                  <w:kern w:val="0"/>
                </w:rPr>
                <w:t>大</w:t>
              </w:r>
            </w:hyperlink>
            <w:r w:rsidRPr="003A5812">
              <w:rPr>
                <w:rFonts w:ascii="微软雅黑" w:eastAsia="微软雅黑" w:hAnsi="微软雅黑" w:cs="宋体" w:hint="eastAsia"/>
                <w:color w:val="666666"/>
                <w:kern w:val="0"/>
                <w:szCs w:val="21"/>
              </w:rPr>
              <w:t> </w:t>
            </w:r>
            <w:hyperlink r:id="rId7" w:history="1">
              <w:r w:rsidRPr="003A5812">
                <w:rPr>
                  <w:rFonts w:ascii="微软雅黑" w:eastAsia="微软雅黑" w:hAnsi="微软雅黑" w:cs="宋体" w:hint="eastAsia"/>
                  <w:color w:val="333333"/>
                  <w:kern w:val="0"/>
                </w:rPr>
                <w:t>中</w:t>
              </w:r>
            </w:hyperlink>
            <w:r w:rsidRPr="003A5812">
              <w:rPr>
                <w:rFonts w:ascii="微软雅黑" w:eastAsia="微软雅黑" w:hAnsi="微软雅黑" w:cs="宋体" w:hint="eastAsia"/>
                <w:color w:val="666666"/>
                <w:kern w:val="0"/>
                <w:szCs w:val="21"/>
              </w:rPr>
              <w:t> </w:t>
            </w:r>
            <w:hyperlink r:id="rId8" w:history="1">
              <w:r w:rsidRPr="003A5812">
                <w:rPr>
                  <w:rFonts w:ascii="微软雅黑" w:eastAsia="微软雅黑" w:hAnsi="微软雅黑" w:cs="宋体" w:hint="eastAsia"/>
                  <w:color w:val="333333"/>
                  <w:kern w:val="0"/>
                </w:rPr>
                <w:t>小</w:t>
              </w:r>
            </w:hyperlink>
            <w:r w:rsidRPr="003A5812">
              <w:rPr>
                <w:rFonts w:ascii="微软雅黑" w:eastAsia="微软雅黑" w:hAnsi="微软雅黑" w:cs="宋体" w:hint="eastAsia"/>
                <w:color w:val="666666"/>
                <w:kern w:val="0"/>
                <w:szCs w:val="21"/>
              </w:rPr>
              <w:t xml:space="preserve">] </w:t>
            </w:r>
          </w:p>
        </w:tc>
      </w:tr>
    </w:tbl>
    <w:p w:rsidR="003A5812" w:rsidRPr="003A5812" w:rsidRDefault="003A5812" w:rsidP="003A5812">
      <w:pPr>
        <w:widowControl/>
        <w:spacing w:line="408" w:lineRule="auto"/>
        <w:jc w:val="left"/>
        <w:rPr>
          <w:rFonts w:ascii="微软雅黑" w:eastAsia="微软雅黑" w:hAnsi="微软雅黑" w:cs="宋体"/>
          <w:vanish/>
          <w:color w:val="666666"/>
          <w:kern w:val="0"/>
          <w:szCs w:val="21"/>
        </w:rPr>
      </w:pPr>
    </w:p>
    <w:tbl>
      <w:tblPr>
        <w:tblW w:w="4800" w:type="pct"/>
        <w:jc w:val="center"/>
        <w:tblCellSpacing w:w="0" w:type="dxa"/>
        <w:tblCellMar>
          <w:left w:w="0" w:type="dxa"/>
          <w:right w:w="0" w:type="dxa"/>
        </w:tblCellMar>
        <w:tblLook w:val="04A0"/>
      </w:tblPr>
      <w:tblGrid>
        <w:gridCol w:w="8064"/>
      </w:tblGrid>
      <w:tr w:rsidR="003A5812" w:rsidRPr="003A5812">
        <w:trPr>
          <w:trHeight w:val="375"/>
          <w:tblCellSpacing w:w="0" w:type="dxa"/>
          <w:jc w:val="center"/>
        </w:trPr>
        <w:tc>
          <w:tcPr>
            <w:tcW w:w="0" w:type="auto"/>
            <w:shd w:val="clear" w:color="auto" w:fill="FFFFFF"/>
            <w:vAlign w:val="center"/>
            <w:hideMark/>
          </w:tcPr>
          <w:p w:rsidR="003A5812" w:rsidRPr="003A5812" w:rsidRDefault="003A5812" w:rsidP="003A5812">
            <w:pPr>
              <w:widowControl/>
              <w:spacing w:line="408" w:lineRule="auto"/>
              <w:jc w:val="center"/>
              <w:rPr>
                <w:rFonts w:ascii="微软雅黑" w:eastAsia="微软雅黑" w:hAnsi="微软雅黑" w:cs="宋体"/>
                <w:color w:val="666666"/>
                <w:kern w:val="0"/>
                <w:szCs w:val="21"/>
              </w:rPr>
            </w:pPr>
          </w:p>
        </w:tc>
      </w:tr>
      <w:tr w:rsidR="003A5812" w:rsidRPr="003A5812">
        <w:trPr>
          <w:trHeight w:val="375"/>
          <w:tblCellSpacing w:w="0" w:type="dxa"/>
          <w:jc w:val="center"/>
        </w:trPr>
        <w:tc>
          <w:tcPr>
            <w:tcW w:w="0" w:type="auto"/>
            <w:vAlign w:val="center"/>
            <w:hideMark/>
          </w:tcPr>
          <w:p w:rsidR="003A5812" w:rsidRPr="003A5812" w:rsidRDefault="003A5812" w:rsidP="003A5812">
            <w:pPr>
              <w:widowControl/>
              <w:spacing w:before="100" w:beforeAutospacing="1" w:after="100" w:afterAutospacing="1" w:line="576" w:lineRule="auto"/>
              <w:jc w:val="left"/>
              <w:rPr>
                <w:rFonts w:ascii="宋体" w:eastAsia="宋体" w:hAnsi="宋体" w:cs="宋体" w:hint="eastAsia"/>
                <w:color w:val="666666"/>
                <w:kern w:val="0"/>
                <w:sz w:val="24"/>
                <w:szCs w:val="24"/>
              </w:rPr>
            </w:pPr>
            <w:r w:rsidRPr="003A5812">
              <w:rPr>
                <w:rFonts w:ascii="宋体" w:eastAsia="宋体" w:hAnsi="宋体" w:cs="宋体" w:hint="eastAsia"/>
                <w:color w:val="666666"/>
                <w:kern w:val="0"/>
                <w:sz w:val="24"/>
                <w:szCs w:val="24"/>
              </w:rPr>
              <w:t xml:space="preserve">            </w:t>
            </w:r>
          </w:p>
          <w:p w:rsidR="003A5812" w:rsidRPr="003A5812" w:rsidRDefault="003A5812" w:rsidP="003A5812">
            <w:pPr>
              <w:widowControl/>
              <w:spacing w:before="100" w:beforeAutospacing="1" w:after="100" w:afterAutospacing="1" w:line="576" w:lineRule="auto"/>
              <w:jc w:val="left"/>
              <w:rPr>
                <w:rFonts w:ascii="宋体" w:eastAsia="宋体" w:hAnsi="宋体" w:cs="宋体"/>
                <w:color w:val="666666"/>
                <w:kern w:val="0"/>
                <w:sz w:val="24"/>
                <w:szCs w:val="24"/>
              </w:rPr>
            </w:pPr>
            <w:r w:rsidRPr="003A5812">
              <w:rPr>
                <w:rFonts w:ascii="宋体" w:eastAsia="宋体" w:hAnsi="宋体" w:cs="宋体" w:hint="eastAsia"/>
                <w:color w:val="666666"/>
                <w:kern w:val="0"/>
                <w:sz w:val="24"/>
                <w:szCs w:val="24"/>
              </w:rPr>
              <w:t>成都高新区、成都天府新区、各区（市）县建设主管部门，市质监站，在蓉各有关单位：</w:t>
            </w:r>
            <w:r w:rsidRPr="003A5812">
              <w:rPr>
                <w:rFonts w:ascii="宋体" w:eastAsia="宋体" w:hAnsi="宋体" w:cs="宋体"/>
                <w:color w:val="666666"/>
                <w:kern w:val="0"/>
                <w:sz w:val="24"/>
                <w:szCs w:val="24"/>
              </w:rPr>
              <w:t xml:space="preserve"> </w:t>
            </w:r>
          </w:p>
          <w:p w:rsidR="003A5812" w:rsidRPr="003A5812" w:rsidRDefault="003A5812" w:rsidP="003A5812">
            <w:pPr>
              <w:widowControl/>
              <w:spacing w:before="100" w:beforeAutospacing="1" w:after="100" w:afterAutospacing="1" w:line="576" w:lineRule="auto"/>
              <w:ind w:firstLine="480"/>
              <w:rPr>
                <w:rFonts w:ascii="微软雅黑" w:eastAsia="微软雅黑" w:hAnsi="微软雅黑" w:cs="宋体"/>
                <w:color w:val="666666"/>
                <w:kern w:val="0"/>
                <w:szCs w:val="21"/>
              </w:rPr>
            </w:pPr>
            <w:r w:rsidRPr="003A5812">
              <w:rPr>
                <w:rFonts w:ascii="宋体" w:eastAsia="宋体" w:hAnsi="宋体" w:cs="宋体" w:hint="eastAsia"/>
                <w:color w:val="666666"/>
                <w:kern w:val="0"/>
                <w:szCs w:val="21"/>
              </w:rPr>
              <w:t>为进一步规范我市建设工程质量检测行为，提升检测工作质量，充分发挥建设工程质量检测在工程质量保证体系中的重要作用，依据《建设工程质量检测管理办法》（建设部令第141号）、《四川省建设工程质量检测监督管理实施细则》（川建办发〔2015〕515号）等相关规定，结合本市实际，现将相关要求通知如下：</w:t>
            </w:r>
            <w:r w:rsidRPr="003A5812">
              <w:rPr>
                <w:rFonts w:ascii="微软雅黑" w:eastAsia="微软雅黑" w:hAnsi="微软雅黑" w:cs="宋体" w:hint="eastAsia"/>
                <w:color w:val="666666"/>
                <w:kern w:val="0"/>
                <w:szCs w:val="21"/>
              </w:rPr>
              <w:t xml:space="preserve"> </w:t>
            </w:r>
          </w:p>
          <w:p w:rsidR="003A5812" w:rsidRPr="003A5812" w:rsidRDefault="003A5812" w:rsidP="003A5812">
            <w:pPr>
              <w:widowControl/>
              <w:spacing w:before="100" w:beforeAutospacing="1" w:after="100" w:afterAutospacing="1" w:line="576" w:lineRule="auto"/>
              <w:ind w:firstLine="480"/>
              <w:rPr>
                <w:rFonts w:ascii="微软雅黑" w:eastAsia="微软雅黑" w:hAnsi="微软雅黑" w:cs="宋体" w:hint="eastAsia"/>
                <w:color w:val="666666"/>
                <w:kern w:val="0"/>
                <w:szCs w:val="21"/>
              </w:rPr>
            </w:pPr>
            <w:r w:rsidRPr="003A5812">
              <w:rPr>
                <w:rFonts w:ascii="宋体" w:eastAsia="宋体" w:hAnsi="宋体" w:cs="宋体" w:hint="eastAsia"/>
                <w:color w:val="666666"/>
                <w:kern w:val="0"/>
                <w:szCs w:val="21"/>
              </w:rPr>
              <w:t>一、进一步规范施工现场各方主体检测行为</w:t>
            </w:r>
            <w:r w:rsidRPr="003A5812">
              <w:rPr>
                <w:rFonts w:ascii="微软雅黑" w:eastAsia="微软雅黑" w:hAnsi="微软雅黑" w:cs="宋体" w:hint="eastAsia"/>
                <w:color w:val="666666"/>
                <w:kern w:val="0"/>
                <w:szCs w:val="21"/>
              </w:rPr>
              <w:t xml:space="preserve"> </w:t>
            </w:r>
          </w:p>
          <w:p w:rsidR="003A5812" w:rsidRPr="003A5812" w:rsidRDefault="003A5812" w:rsidP="003A5812">
            <w:pPr>
              <w:widowControl/>
              <w:spacing w:before="100" w:beforeAutospacing="1" w:after="100" w:afterAutospacing="1" w:line="576" w:lineRule="auto"/>
              <w:ind w:firstLine="480"/>
              <w:rPr>
                <w:rFonts w:ascii="微软雅黑" w:eastAsia="微软雅黑" w:hAnsi="微软雅黑" w:cs="宋体" w:hint="eastAsia"/>
                <w:color w:val="FF0000"/>
                <w:kern w:val="0"/>
                <w:szCs w:val="21"/>
              </w:rPr>
            </w:pPr>
            <w:r w:rsidRPr="003A5812">
              <w:rPr>
                <w:rFonts w:ascii="宋体" w:eastAsia="宋体" w:hAnsi="宋体" w:cs="宋体" w:hint="eastAsia"/>
                <w:color w:val="FF0000"/>
                <w:kern w:val="0"/>
                <w:szCs w:val="21"/>
              </w:rPr>
              <w:t>（一）规范建设单位委托检测工作。建设工程应严格执行建设工程质量检测管理规定，由建设单位委托具有相应资质的检测机构开展工程质量检测工作，检测合同必须由建设单位与检测机构签订。同一单位工程中的同一检测项目不得委托两家及两家以上检测机构。检测费用应单独列支，专项用于工程质量检测活动，不得挪作他用。施工单位委托检测机构出具的检测报告不得作为工程质量验收资料。</w:t>
            </w:r>
            <w:r w:rsidRPr="003A5812">
              <w:rPr>
                <w:rFonts w:ascii="微软雅黑" w:eastAsia="微软雅黑" w:hAnsi="微软雅黑" w:cs="宋体" w:hint="eastAsia"/>
                <w:color w:val="FF0000"/>
                <w:kern w:val="0"/>
                <w:szCs w:val="21"/>
              </w:rPr>
              <w:t xml:space="preserve"> </w:t>
            </w:r>
          </w:p>
          <w:p w:rsidR="003A5812" w:rsidRPr="003A5812" w:rsidRDefault="003A5812" w:rsidP="003A5812">
            <w:pPr>
              <w:widowControl/>
              <w:spacing w:before="100" w:beforeAutospacing="1" w:after="100" w:afterAutospacing="1" w:line="576" w:lineRule="auto"/>
              <w:ind w:firstLine="480"/>
              <w:rPr>
                <w:rFonts w:ascii="微软雅黑" w:eastAsia="微软雅黑" w:hAnsi="微软雅黑" w:cs="宋体" w:hint="eastAsia"/>
                <w:color w:val="666666"/>
                <w:kern w:val="0"/>
                <w:szCs w:val="21"/>
              </w:rPr>
            </w:pPr>
            <w:r w:rsidRPr="003A5812">
              <w:rPr>
                <w:rFonts w:ascii="宋体" w:eastAsia="宋体" w:hAnsi="宋体" w:cs="宋体" w:hint="eastAsia"/>
                <w:color w:val="666666"/>
                <w:kern w:val="0"/>
                <w:szCs w:val="21"/>
              </w:rPr>
              <w:lastRenderedPageBreak/>
              <w:t>（二）严格执行见证取样送检制度。建设单位或监理单位应指定项目见证人员，规范开展见证取样、送检工作。施工单位依据规定对纳入我市建设工程材料检测监管系统管理的进场材料制作二维码标识，并通过系统完成样品信息录入，不带二维码标识或制作不规范的样品不得送检。监理单位在施工单位取样及送检环节进行现场见证、通过系统打印生成二维码标识、完成标牌绑定及样品封装工作、拍照记录见证情况并上传相关信息。见证人员、取样人员要对见证取样和送检试样的代表性和真实性负责，系统上传数据须与现场实际一致，不得随意更改。取样、送检工作应有书面记录和专人签字。</w:t>
            </w:r>
            <w:r w:rsidRPr="003A5812">
              <w:rPr>
                <w:rFonts w:ascii="微软雅黑" w:eastAsia="微软雅黑" w:hAnsi="微软雅黑" w:cs="宋体" w:hint="eastAsia"/>
                <w:color w:val="666666"/>
                <w:kern w:val="0"/>
                <w:szCs w:val="21"/>
              </w:rPr>
              <w:t xml:space="preserve"> </w:t>
            </w:r>
          </w:p>
          <w:p w:rsidR="003A5812" w:rsidRPr="003A5812" w:rsidRDefault="003A5812" w:rsidP="003A5812">
            <w:pPr>
              <w:widowControl/>
              <w:spacing w:before="100" w:beforeAutospacing="1" w:after="100" w:afterAutospacing="1" w:line="576" w:lineRule="auto"/>
              <w:ind w:firstLine="480"/>
              <w:rPr>
                <w:rFonts w:ascii="微软雅黑" w:eastAsia="微软雅黑" w:hAnsi="微软雅黑" w:cs="宋体" w:hint="eastAsia"/>
                <w:color w:val="666666"/>
                <w:kern w:val="0"/>
                <w:szCs w:val="21"/>
              </w:rPr>
            </w:pPr>
            <w:r w:rsidRPr="003A5812">
              <w:rPr>
                <w:rFonts w:ascii="宋体" w:eastAsia="宋体" w:hAnsi="宋体" w:cs="宋体" w:hint="eastAsia"/>
                <w:color w:val="666666"/>
                <w:kern w:val="0"/>
                <w:szCs w:val="21"/>
              </w:rPr>
              <w:t>（三）严格执行试块养护制度。施工单位应按规定在施工现场设立满足需要的标准养护室（箱）。标养试块和同条件试块不得送商砼站、检测机构等非施工现场场地进行养护。标养试块和同条件试块留置数量应符合规范要求。</w:t>
            </w:r>
            <w:r w:rsidRPr="003A5812">
              <w:rPr>
                <w:rFonts w:ascii="微软雅黑" w:eastAsia="微软雅黑" w:hAnsi="微软雅黑" w:cs="宋体" w:hint="eastAsia"/>
                <w:color w:val="666666"/>
                <w:kern w:val="0"/>
                <w:szCs w:val="21"/>
              </w:rPr>
              <w:t xml:space="preserve"> </w:t>
            </w:r>
          </w:p>
          <w:p w:rsidR="003A5812" w:rsidRPr="003A5812" w:rsidRDefault="003A5812" w:rsidP="003A5812">
            <w:pPr>
              <w:widowControl/>
              <w:spacing w:before="100" w:beforeAutospacing="1" w:after="100" w:afterAutospacing="1" w:line="576" w:lineRule="auto"/>
              <w:ind w:firstLine="480"/>
              <w:jc w:val="left"/>
              <w:rPr>
                <w:rFonts w:ascii="宋体" w:eastAsia="宋体" w:hAnsi="宋体" w:cs="宋体" w:hint="eastAsia"/>
                <w:color w:val="666666"/>
                <w:kern w:val="0"/>
                <w:sz w:val="24"/>
                <w:szCs w:val="24"/>
              </w:rPr>
            </w:pPr>
            <w:r w:rsidRPr="003A5812">
              <w:rPr>
                <w:rFonts w:ascii="宋体" w:eastAsia="宋体" w:hAnsi="宋体" w:cs="宋体" w:hint="eastAsia"/>
                <w:color w:val="666666"/>
                <w:kern w:val="0"/>
                <w:sz w:val="24"/>
                <w:szCs w:val="24"/>
              </w:rPr>
              <w:t>二、进一步完善检测机构检测行为</w:t>
            </w:r>
            <w:r w:rsidRPr="003A5812">
              <w:rPr>
                <w:rFonts w:ascii="宋体" w:eastAsia="宋体" w:hAnsi="宋体" w:cs="宋体"/>
                <w:color w:val="666666"/>
                <w:kern w:val="0"/>
                <w:sz w:val="24"/>
                <w:szCs w:val="24"/>
              </w:rPr>
              <w:t xml:space="preserve"> </w:t>
            </w:r>
          </w:p>
          <w:p w:rsidR="003A5812" w:rsidRPr="003A5812" w:rsidRDefault="003A5812" w:rsidP="003A5812">
            <w:pPr>
              <w:widowControl/>
              <w:spacing w:before="100" w:beforeAutospacing="1" w:after="100" w:afterAutospacing="1" w:line="576" w:lineRule="auto"/>
              <w:ind w:firstLine="480"/>
              <w:jc w:val="left"/>
              <w:rPr>
                <w:rFonts w:ascii="宋体" w:eastAsia="宋体" w:hAnsi="宋体" w:cs="宋体"/>
                <w:color w:val="666666"/>
                <w:kern w:val="0"/>
                <w:sz w:val="24"/>
                <w:szCs w:val="24"/>
              </w:rPr>
            </w:pPr>
            <w:r w:rsidRPr="003A5812">
              <w:rPr>
                <w:rFonts w:ascii="宋体" w:eastAsia="宋体" w:hAnsi="宋体" w:cs="宋体" w:hint="eastAsia"/>
                <w:color w:val="666666"/>
                <w:kern w:val="0"/>
                <w:sz w:val="24"/>
                <w:szCs w:val="24"/>
              </w:rPr>
              <w:t>（一）完善检测数据管理。加强检测原始数据管理，准确完整记录检测信息，检测数据应能溯源。实验台应装设视频监控，试验过程全程录像备查，录像存放时间不应少于3个月。</w:t>
            </w:r>
            <w:r w:rsidRPr="003A5812">
              <w:rPr>
                <w:rFonts w:ascii="宋体" w:eastAsia="宋体" w:hAnsi="宋体" w:cs="宋体"/>
                <w:color w:val="666666"/>
                <w:kern w:val="0"/>
                <w:sz w:val="24"/>
                <w:szCs w:val="24"/>
              </w:rPr>
              <w:t xml:space="preserve"> </w:t>
            </w:r>
          </w:p>
          <w:p w:rsidR="003A5812" w:rsidRPr="003A5812" w:rsidRDefault="003A5812" w:rsidP="003A5812">
            <w:pPr>
              <w:widowControl/>
              <w:spacing w:before="100" w:beforeAutospacing="1" w:after="100" w:afterAutospacing="1" w:line="576" w:lineRule="auto"/>
              <w:ind w:firstLine="480"/>
              <w:jc w:val="left"/>
              <w:rPr>
                <w:rFonts w:ascii="宋体" w:eastAsia="宋体" w:hAnsi="宋体" w:cs="宋体"/>
                <w:color w:val="666666"/>
                <w:kern w:val="0"/>
                <w:sz w:val="24"/>
                <w:szCs w:val="24"/>
              </w:rPr>
            </w:pPr>
            <w:r w:rsidRPr="003A5812">
              <w:rPr>
                <w:rFonts w:ascii="宋体" w:eastAsia="宋体" w:hAnsi="宋体" w:cs="宋体" w:hint="eastAsia"/>
                <w:color w:val="666666"/>
                <w:kern w:val="0"/>
                <w:sz w:val="24"/>
                <w:szCs w:val="24"/>
              </w:rPr>
              <w:t>（二）完善检测收样管理。检测机构收样时应严格检查样品的二维码标识是否完好、通过监管系统核对样品信息、将收样编号与该样品的二维码标识进行关联。检测机构不得收取未按要求粘贴二维码标识或二维码标识不完整的施</w:t>
            </w:r>
            <w:r w:rsidRPr="003A5812">
              <w:rPr>
                <w:rFonts w:ascii="宋体" w:eastAsia="宋体" w:hAnsi="宋体" w:cs="宋体" w:hint="eastAsia"/>
                <w:color w:val="666666"/>
                <w:kern w:val="0"/>
                <w:sz w:val="24"/>
                <w:szCs w:val="24"/>
              </w:rPr>
              <w:lastRenderedPageBreak/>
              <w:t>工现场送检样品。</w:t>
            </w:r>
            <w:r w:rsidRPr="003A5812">
              <w:rPr>
                <w:rFonts w:ascii="宋体" w:eastAsia="宋体" w:hAnsi="宋体" w:cs="宋体"/>
                <w:color w:val="666666"/>
                <w:kern w:val="0"/>
                <w:sz w:val="24"/>
                <w:szCs w:val="24"/>
              </w:rPr>
              <w:t xml:space="preserve"> </w:t>
            </w:r>
          </w:p>
          <w:p w:rsidR="003A5812" w:rsidRPr="003A5812" w:rsidRDefault="003A5812" w:rsidP="003A5812">
            <w:pPr>
              <w:widowControl/>
              <w:spacing w:before="100" w:beforeAutospacing="1" w:after="100" w:afterAutospacing="1" w:line="576" w:lineRule="auto"/>
              <w:ind w:firstLine="480"/>
              <w:jc w:val="left"/>
              <w:rPr>
                <w:rFonts w:ascii="宋体" w:eastAsia="宋体" w:hAnsi="宋体" w:cs="宋体"/>
                <w:color w:val="666666"/>
                <w:kern w:val="0"/>
                <w:sz w:val="24"/>
                <w:szCs w:val="24"/>
              </w:rPr>
            </w:pPr>
            <w:r w:rsidRPr="003A5812">
              <w:rPr>
                <w:rFonts w:ascii="宋体" w:eastAsia="宋体" w:hAnsi="宋体" w:cs="宋体" w:hint="eastAsia"/>
                <w:color w:val="666666"/>
                <w:kern w:val="0"/>
                <w:sz w:val="24"/>
                <w:szCs w:val="24"/>
              </w:rPr>
              <w:t>（三）完善检测报告管理。检测机构出具的检测报告应字迹清晰、结论准确、签字盖章齐全。检测数据、检测报告未按要求同步上传系统的，不得作为工程质量验收资料。建立检测结果不合格台账，对涉及结构安全、重要使用功能的不合格检测结果，应立即报告工程质量监督机构。</w:t>
            </w:r>
            <w:r w:rsidRPr="003A5812">
              <w:rPr>
                <w:rFonts w:ascii="宋体" w:eastAsia="宋体" w:hAnsi="宋体" w:cs="宋体"/>
                <w:color w:val="666666"/>
                <w:kern w:val="0"/>
                <w:sz w:val="24"/>
                <w:szCs w:val="24"/>
              </w:rPr>
              <w:t xml:space="preserve"> </w:t>
            </w:r>
          </w:p>
          <w:p w:rsidR="003A5812" w:rsidRPr="003A5812" w:rsidRDefault="003A5812" w:rsidP="003A5812">
            <w:pPr>
              <w:widowControl/>
              <w:spacing w:before="100" w:beforeAutospacing="1" w:after="100" w:afterAutospacing="1" w:line="576" w:lineRule="auto"/>
              <w:ind w:firstLine="480"/>
              <w:jc w:val="left"/>
              <w:rPr>
                <w:rFonts w:ascii="宋体" w:eastAsia="宋体" w:hAnsi="宋体" w:cs="宋体"/>
                <w:color w:val="666666"/>
                <w:kern w:val="0"/>
                <w:sz w:val="24"/>
                <w:szCs w:val="24"/>
              </w:rPr>
            </w:pPr>
            <w:r w:rsidRPr="003A5812">
              <w:rPr>
                <w:rFonts w:ascii="宋体" w:eastAsia="宋体" w:hAnsi="宋体" w:cs="宋体" w:hint="eastAsia"/>
                <w:color w:val="666666"/>
                <w:kern w:val="0"/>
                <w:sz w:val="24"/>
                <w:szCs w:val="24"/>
              </w:rPr>
              <w:t>三 、进一步加强检测工作监管力度</w:t>
            </w:r>
            <w:r w:rsidRPr="003A5812">
              <w:rPr>
                <w:rFonts w:ascii="宋体" w:eastAsia="宋体" w:hAnsi="宋体" w:cs="宋体"/>
                <w:color w:val="666666"/>
                <w:kern w:val="0"/>
                <w:sz w:val="24"/>
                <w:szCs w:val="24"/>
              </w:rPr>
              <w:t xml:space="preserve"> </w:t>
            </w:r>
          </w:p>
          <w:p w:rsidR="003A5812" w:rsidRPr="003A5812" w:rsidRDefault="003A5812" w:rsidP="003A5812">
            <w:pPr>
              <w:widowControl/>
              <w:spacing w:before="100" w:beforeAutospacing="1" w:after="100" w:afterAutospacing="1" w:line="576" w:lineRule="auto"/>
              <w:ind w:firstLine="480"/>
              <w:jc w:val="left"/>
              <w:rPr>
                <w:rFonts w:ascii="宋体" w:eastAsia="宋体" w:hAnsi="宋体" w:cs="宋体"/>
                <w:color w:val="666666"/>
                <w:kern w:val="0"/>
                <w:sz w:val="24"/>
                <w:szCs w:val="24"/>
              </w:rPr>
            </w:pPr>
            <w:r w:rsidRPr="003A5812">
              <w:rPr>
                <w:rFonts w:ascii="宋体" w:eastAsia="宋体" w:hAnsi="宋体" w:cs="宋体" w:hint="eastAsia"/>
                <w:color w:val="666666"/>
                <w:kern w:val="0"/>
                <w:sz w:val="24"/>
                <w:szCs w:val="24"/>
              </w:rPr>
              <w:t>（一）建立检测机构信息台账。各区（市）县建设行政主管部门对在辖区内开展业务的工程质量检测机构开展排查工作，重点针对检测机构人员、设备、办公场所、承接业务量等内容进行核查，并于2017年3月1日前将根据核查情况填写的《工程质量检测机构检测能力核查表》（附件）报市质监站汇总（联系电话：028-86632330）。依据此次排查的结果建立检测机构信息台账，逐步面向社会进行公示。检测机构信息若有变动，应及时进行更改。</w:t>
            </w:r>
            <w:r w:rsidRPr="003A5812">
              <w:rPr>
                <w:rFonts w:ascii="宋体" w:eastAsia="宋体" w:hAnsi="宋体" w:cs="宋体"/>
                <w:color w:val="666666"/>
                <w:kern w:val="0"/>
                <w:sz w:val="24"/>
                <w:szCs w:val="24"/>
              </w:rPr>
              <w:t xml:space="preserve"> </w:t>
            </w:r>
          </w:p>
          <w:p w:rsidR="003A5812" w:rsidRPr="003A5812" w:rsidRDefault="003A5812" w:rsidP="003A5812">
            <w:pPr>
              <w:widowControl/>
              <w:spacing w:before="100" w:beforeAutospacing="1" w:after="100" w:afterAutospacing="1" w:line="576" w:lineRule="auto"/>
              <w:ind w:firstLine="480"/>
              <w:rPr>
                <w:rFonts w:ascii="微软雅黑" w:eastAsia="微软雅黑" w:hAnsi="微软雅黑" w:cs="宋体"/>
                <w:color w:val="666666"/>
                <w:kern w:val="0"/>
                <w:szCs w:val="21"/>
              </w:rPr>
            </w:pPr>
            <w:r w:rsidRPr="003A5812">
              <w:rPr>
                <w:rFonts w:ascii="宋体" w:eastAsia="宋体" w:hAnsi="宋体" w:cs="宋体" w:hint="eastAsia"/>
                <w:color w:val="666666"/>
                <w:kern w:val="0"/>
                <w:szCs w:val="21"/>
              </w:rPr>
              <w:t>（二）推进检测监管系统应用。切实推进工程质量检测监管系统应用工作，实现检测数据同步上传，防范检测工作中弄虚作假行为。依托平台优势，结合检测机构信息台账，全面实施工程质量检测机构不良行为公示制度和检测机构人员、设备、业绩等信息网上查询制度，确保建设工程质量检测市场秩序化、规范化。</w:t>
            </w:r>
            <w:r w:rsidRPr="003A5812">
              <w:rPr>
                <w:rFonts w:ascii="微软雅黑" w:eastAsia="微软雅黑" w:hAnsi="微软雅黑" w:cs="宋体" w:hint="eastAsia"/>
                <w:color w:val="666666"/>
                <w:kern w:val="0"/>
                <w:szCs w:val="21"/>
              </w:rPr>
              <w:t xml:space="preserve"> </w:t>
            </w:r>
          </w:p>
          <w:p w:rsidR="003A5812" w:rsidRPr="003A5812" w:rsidRDefault="003A5812" w:rsidP="003A5812">
            <w:pPr>
              <w:widowControl/>
              <w:spacing w:before="100" w:beforeAutospacing="1" w:after="100" w:afterAutospacing="1" w:line="576" w:lineRule="auto"/>
              <w:ind w:firstLine="480"/>
              <w:jc w:val="left"/>
              <w:rPr>
                <w:rFonts w:ascii="宋体" w:eastAsia="宋体" w:hAnsi="宋体" w:cs="宋体" w:hint="eastAsia"/>
                <w:color w:val="666666"/>
                <w:kern w:val="0"/>
                <w:sz w:val="24"/>
                <w:szCs w:val="24"/>
              </w:rPr>
            </w:pPr>
            <w:r w:rsidRPr="003A5812">
              <w:rPr>
                <w:rFonts w:ascii="宋体" w:eastAsia="宋体" w:hAnsi="宋体" w:cs="宋体" w:hint="eastAsia"/>
                <w:color w:val="666666"/>
                <w:kern w:val="0"/>
                <w:sz w:val="24"/>
                <w:szCs w:val="24"/>
              </w:rPr>
              <w:lastRenderedPageBreak/>
              <w:t>（三）加大执法监督检查力度。各区（市）县建设行政主管部门要加大执法力度，采取“双随机”方式,对辖区内的工程项目质量检测情况开展定期和不定期的监督检查，重点检查各方责任主体和检测机构的检测行为落实情况。工程质量监督机构应跟踪出现不合格检测结果的工程，加强对处置方案的制定程序和处置过程的监督，并定期对本地区出现的不合格检测结果进行分析。市质监站每季度对本市检测机构能力和工程质量各方责任主体检测行为开展监督抽查，市建委也将开展随机督查。</w:t>
            </w:r>
            <w:r w:rsidRPr="003A5812">
              <w:rPr>
                <w:rFonts w:ascii="宋体" w:eastAsia="宋体" w:hAnsi="宋体" w:cs="宋体"/>
                <w:color w:val="666666"/>
                <w:kern w:val="0"/>
                <w:sz w:val="24"/>
                <w:szCs w:val="24"/>
              </w:rPr>
              <w:t xml:space="preserve"> </w:t>
            </w:r>
          </w:p>
          <w:p w:rsidR="003A5812" w:rsidRPr="003A5812" w:rsidRDefault="003A5812" w:rsidP="003A5812">
            <w:pPr>
              <w:widowControl/>
              <w:spacing w:before="100" w:beforeAutospacing="1" w:after="100" w:afterAutospacing="1" w:line="576" w:lineRule="auto"/>
              <w:ind w:firstLine="480"/>
              <w:jc w:val="left"/>
              <w:rPr>
                <w:rFonts w:ascii="宋体" w:eastAsia="宋体" w:hAnsi="宋体" w:cs="宋体"/>
                <w:color w:val="666666"/>
                <w:kern w:val="0"/>
                <w:sz w:val="24"/>
                <w:szCs w:val="24"/>
              </w:rPr>
            </w:pPr>
            <w:r w:rsidRPr="003A5812">
              <w:rPr>
                <w:rFonts w:ascii="宋体" w:eastAsia="宋体" w:hAnsi="宋体" w:cs="宋体" w:hint="eastAsia"/>
                <w:color w:val="666666"/>
                <w:kern w:val="0"/>
                <w:sz w:val="24"/>
                <w:szCs w:val="24"/>
              </w:rPr>
              <w:t>（四）严格依法依规追究责任。各区（市）县建设主管部门对于监督检查中发现的不符合有关法律、法规和工程建设标准特别是强制性标准要求的检测行为，处以罚款并责令检测机构限期改正，改正期间不得承接新的工程质量检测业务。对伪造检测数据、出具虚假报告等检测弄虚作假行为的单位和个人，给予不良行为记录并曝光，通报批评，列入黑名单，实施重点监控，直至市场禁入。</w:t>
            </w:r>
            <w:r w:rsidRPr="003A5812">
              <w:rPr>
                <w:rFonts w:ascii="宋体" w:eastAsia="宋体" w:hAnsi="宋体" w:cs="宋体"/>
                <w:color w:val="666666"/>
                <w:kern w:val="0"/>
                <w:sz w:val="24"/>
                <w:szCs w:val="24"/>
              </w:rPr>
              <w:t xml:space="preserve"> </w:t>
            </w:r>
          </w:p>
          <w:p w:rsidR="003A5812" w:rsidRPr="003A5812" w:rsidRDefault="003A5812" w:rsidP="003A5812">
            <w:pPr>
              <w:widowControl/>
              <w:spacing w:before="100" w:beforeAutospacing="1" w:after="100" w:afterAutospacing="1" w:line="576" w:lineRule="auto"/>
              <w:ind w:firstLine="480"/>
              <w:jc w:val="left"/>
              <w:rPr>
                <w:rFonts w:ascii="宋体" w:eastAsia="宋体" w:hAnsi="宋体" w:cs="宋体"/>
                <w:color w:val="666666"/>
                <w:kern w:val="0"/>
                <w:sz w:val="24"/>
                <w:szCs w:val="24"/>
              </w:rPr>
            </w:pPr>
            <w:r w:rsidRPr="003A5812">
              <w:rPr>
                <w:rFonts w:ascii="宋体" w:eastAsia="宋体" w:hAnsi="宋体" w:cs="宋体" w:hint="eastAsia"/>
                <w:color w:val="666666"/>
                <w:kern w:val="0"/>
                <w:sz w:val="24"/>
                <w:szCs w:val="24"/>
              </w:rPr>
              <w:t>四、本通知要求从2017年3月1日开始实施。</w:t>
            </w:r>
            <w:r w:rsidRPr="003A5812">
              <w:rPr>
                <w:rFonts w:ascii="宋体" w:eastAsia="宋体" w:hAnsi="宋体" w:cs="宋体"/>
                <w:color w:val="666666"/>
                <w:kern w:val="0"/>
                <w:sz w:val="24"/>
                <w:szCs w:val="24"/>
              </w:rPr>
              <w:t xml:space="preserve"> </w:t>
            </w:r>
          </w:p>
          <w:p w:rsidR="003A5812" w:rsidRPr="003A5812" w:rsidRDefault="003A5812" w:rsidP="003A5812">
            <w:pPr>
              <w:widowControl/>
              <w:spacing w:before="100" w:beforeAutospacing="1" w:after="100" w:afterAutospacing="1" w:line="576" w:lineRule="auto"/>
              <w:ind w:firstLine="480"/>
              <w:jc w:val="left"/>
              <w:rPr>
                <w:rFonts w:ascii="宋体" w:eastAsia="宋体" w:hAnsi="宋体" w:cs="宋体"/>
                <w:color w:val="666666"/>
                <w:kern w:val="0"/>
                <w:sz w:val="24"/>
                <w:szCs w:val="24"/>
              </w:rPr>
            </w:pPr>
            <w:r w:rsidRPr="003A5812">
              <w:rPr>
                <w:rFonts w:ascii="宋体" w:eastAsia="宋体" w:hAnsi="宋体" w:cs="宋体" w:hint="eastAsia"/>
                <w:color w:val="666666"/>
                <w:kern w:val="0"/>
                <w:sz w:val="24"/>
                <w:szCs w:val="24"/>
              </w:rPr>
              <w:t> </w:t>
            </w:r>
            <w:r w:rsidRPr="003A5812">
              <w:rPr>
                <w:rFonts w:ascii="宋体" w:eastAsia="宋体" w:hAnsi="宋体" w:cs="宋体"/>
                <w:color w:val="666666"/>
                <w:kern w:val="0"/>
                <w:sz w:val="24"/>
                <w:szCs w:val="24"/>
              </w:rPr>
              <w:t xml:space="preserve"> </w:t>
            </w:r>
          </w:p>
          <w:p w:rsidR="003A5812" w:rsidRPr="003A5812" w:rsidRDefault="003A5812" w:rsidP="003A5812">
            <w:pPr>
              <w:widowControl/>
              <w:spacing w:before="100" w:beforeAutospacing="1" w:after="100" w:afterAutospacing="1" w:line="576" w:lineRule="auto"/>
              <w:ind w:firstLine="480"/>
              <w:jc w:val="left"/>
              <w:rPr>
                <w:rFonts w:ascii="宋体" w:eastAsia="宋体" w:hAnsi="宋体" w:cs="宋体"/>
                <w:color w:val="666666"/>
                <w:kern w:val="0"/>
                <w:sz w:val="24"/>
                <w:szCs w:val="24"/>
              </w:rPr>
            </w:pPr>
            <w:hyperlink r:id="rId9" w:history="1">
              <w:r w:rsidRPr="003A5812">
                <w:rPr>
                  <w:rFonts w:ascii="宋体" w:eastAsia="宋体" w:hAnsi="宋体" w:cs="宋体" w:hint="eastAsia"/>
                  <w:color w:val="333333"/>
                  <w:kern w:val="0"/>
                  <w:sz w:val="24"/>
                  <w:szCs w:val="24"/>
                </w:rPr>
                <w:t>附件：《工程质量检测机构检测能力核查表》</w:t>
              </w:r>
            </w:hyperlink>
            <w:r w:rsidRPr="003A5812">
              <w:rPr>
                <w:rFonts w:ascii="宋体" w:eastAsia="宋体" w:hAnsi="宋体" w:cs="宋体"/>
                <w:color w:val="666666"/>
                <w:kern w:val="0"/>
                <w:sz w:val="24"/>
                <w:szCs w:val="24"/>
              </w:rPr>
              <w:t xml:space="preserve"> </w:t>
            </w:r>
          </w:p>
          <w:p w:rsidR="003A5812" w:rsidRPr="003A5812" w:rsidRDefault="003A5812" w:rsidP="003A5812">
            <w:pPr>
              <w:widowControl/>
              <w:spacing w:before="100" w:beforeAutospacing="1" w:after="100" w:afterAutospacing="1" w:line="576" w:lineRule="auto"/>
              <w:jc w:val="left"/>
              <w:rPr>
                <w:rFonts w:ascii="宋体" w:eastAsia="宋体" w:hAnsi="宋体" w:cs="宋体"/>
                <w:color w:val="666666"/>
                <w:kern w:val="0"/>
                <w:sz w:val="24"/>
                <w:szCs w:val="24"/>
              </w:rPr>
            </w:pPr>
            <w:r w:rsidRPr="003A5812">
              <w:rPr>
                <w:rFonts w:ascii="宋体" w:eastAsia="宋体" w:hAnsi="宋体" w:cs="宋体" w:hint="eastAsia"/>
                <w:color w:val="000000"/>
                <w:kern w:val="0"/>
                <w:sz w:val="24"/>
                <w:szCs w:val="24"/>
              </w:rPr>
              <w:lastRenderedPageBreak/>
              <w:t> </w:t>
            </w:r>
            <w:r w:rsidRPr="003A5812">
              <w:rPr>
                <w:rFonts w:ascii="宋体" w:eastAsia="宋体" w:hAnsi="宋体" w:cs="宋体"/>
                <w:color w:val="666666"/>
                <w:kern w:val="0"/>
                <w:sz w:val="24"/>
                <w:szCs w:val="24"/>
              </w:rPr>
              <w:t xml:space="preserve"> </w:t>
            </w:r>
          </w:p>
          <w:p w:rsidR="003A5812" w:rsidRPr="003A5812" w:rsidRDefault="003A5812" w:rsidP="003A5812">
            <w:pPr>
              <w:widowControl/>
              <w:spacing w:before="100" w:beforeAutospacing="1" w:after="100" w:afterAutospacing="1" w:line="576" w:lineRule="auto"/>
              <w:jc w:val="left"/>
              <w:rPr>
                <w:rFonts w:ascii="宋体" w:eastAsia="宋体" w:hAnsi="宋体" w:cs="宋体"/>
                <w:color w:val="666666"/>
                <w:kern w:val="0"/>
                <w:sz w:val="24"/>
                <w:szCs w:val="24"/>
              </w:rPr>
            </w:pPr>
            <w:r w:rsidRPr="003A5812">
              <w:rPr>
                <w:rFonts w:ascii="宋体" w:eastAsia="宋体" w:hAnsi="宋体" w:cs="宋体" w:hint="eastAsia"/>
                <w:color w:val="000000"/>
                <w:kern w:val="0"/>
                <w:sz w:val="24"/>
                <w:szCs w:val="24"/>
              </w:rPr>
              <w:t> </w:t>
            </w:r>
            <w:r w:rsidRPr="003A5812">
              <w:rPr>
                <w:rFonts w:ascii="宋体" w:eastAsia="宋体" w:hAnsi="宋体" w:cs="宋体"/>
                <w:color w:val="666666"/>
                <w:kern w:val="0"/>
                <w:sz w:val="24"/>
                <w:szCs w:val="24"/>
              </w:rPr>
              <w:t xml:space="preserve"> </w:t>
            </w:r>
          </w:p>
          <w:p w:rsidR="003A5812" w:rsidRPr="003A5812" w:rsidRDefault="003A5812" w:rsidP="003A5812">
            <w:pPr>
              <w:widowControl/>
              <w:spacing w:before="100" w:beforeAutospacing="1" w:after="100" w:afterAutospacing="1" w:line="576" w:lineRule="auto"/>
              <w:jc w:val="left"/>
              <w:rPr>
                <w:rFonts w:ascii="宋体" w:eastAsia="宋体" w:hAnsi="宋体" w:cs="宋体"/>
                <w:color w:val="666666"/>
                <w:kern w:val="0"/>
                <w:sz w:val="24"/>
                <w:szCs w:val="24"/>
              </w:rPr>
            </w:pPr>
            <w:r w:rsidRPr="003A5812">
              <w:rPr>
                <w:rFonts w:ascii="宋体" w:eastAsia="宋体" w:hAnsi="宋体" w:cs="宋体" w:hint="eastAsia"/>
                <w:color w:val="000000"/>
                <w:kern w:val="0"/>
                <w:sz w:val="24"/>
                <w:szCs w:val="24"/>
              </w:rPr>
              <w:t>                              成都市城乡建设委员会</w:t>
            </w:r>
            <w:r w:rsidRPr="003A5812">
              <w:rPr>
                <w:rFonts w:ascii="宋体" w:eastAsia="宋体" w:hAnsi="宋体" w:cs="宋体"/>
                <w:color w:val="666666"/>
                <w:kern w:val="0"/>
                <w:sz w:val="24"/>
                <w:szCs w:val="24"/>
              </w:rPr>
              <w:t xml:space="preserve"> </w:t>
            </w:r>
          </w:p>
          <w:p w:rsidR="003A5812" w:rsidRPr="003A5812" w:rsidRDefault="003A5812" w:rsidP="003A5812">
            <w:pPr>
              <w:widowControl/>
              <w:spacing w:before="100" w:beforeAutospacing="1" w:after="100" w:afterAutospacing="1" w:line="576" w:lineRule="auto"/>
              <w:jc w:val="left"/>
              <w:rPr>
                <w:rFonts w:ascii="宋体" w:eastAsia="宋体" w:hAnsi="宋体" w:cs="宋体"/>
                <w:color w:val="666666"/>
                <w:kern w:val="0"/>
                <w:sz w:val="24"/>
                <w:szCs w:val="24"/>
              </w:rPr>
            </w:pPr>
            <w:r w:rsidRPr="003A5812">
              <w:rPr>
                <w:rFonts w:ascii="宋体" w:eastAsia="宋体" w:hAnsi="宋体" w:cs="宋体" w:hint="eastAsia"/>
                <w:color w:val="000000"/>
                <w:kern w:val="0"/>
                <w:sz w:val="24"/>
                <w:szCs w:val="24"/>
              </w:rPr>
              <w:t>                                2017年1月24日</w:t>
            </w:r>
            <w:r w:rsidRPr="003A5812">
              <w:rPr>
                <w:rFonts w:ascii="宋体" w:eastAsia="宋体" w:hAnsi="宋体" w:cs="宋体"/>
                <w:color w:val="666666"/>
                <w:kern w:val="0"/>
                <w:sz w:val="24"/>
                <w:szCs w:val="24"/>
              </w:rPr>
              <w:t xml:space="preserve"> </w:t>
            </w:r>
          </w:p>
          <w:p w:rsidR="003A5812" w:rsidRPr="003A5812" w:rsidRDefault="003A5812" w:rsidP="003A5812">
            <w:pPr>
              <w:widowControl/>
              <w:spacing w:line="576" w:lineRule="auto"/>
              <w:jc w:val="left"/>
              <w:rPr>
                <w:rFonts w:ascii="微软雅黑" w:eastAsia="微软雅黑" w:hAnsi="微软雅黑" w:cs="宋体"/>
                <w:color w:val="666666"/>
                <w:kern w:val="0"/>
                <w:szCs w:val="21"/>
              </w:rPr>
            </w:pPr>
          </w:p>
        </w:tc>
      </w:tr>
    </w:tbl>
    <w:p w:rsidR="000B00BB" w:rsidRPr="000B00BB" w:rsidRDefault="000B00BB" w:rsidP="006D262D">
      <w:pPr>
        <w:pStyle w:val="a3"/>
        <w:rPr>
          <w:rFonts w:hAnsi="宋体" w:cs="宋体" w:hint="eastAsia"/>
        </w:rPr>
      </w:pPr>
    </w:p>
    <w:sectPr w:rsidR="000B00BB" w:rsidRPr="000B00BB" w:rsidSect="006D262D">
      <w:pgSz w:w="11906" w:h="16838"/>
      <w:pgMar w:top="1440" w:right="1753" w:bottom="1440" w:left="175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E98" w:rsidRDefault="00461E98" w:rsidP="003A5812">
      <w:r>
        <w:separator/>
      </w:r>
    </w:p>
  </w:endnote>
  <w:endnote w:type="continuationSeparator" w:id="1">
    <w:p w:rsidR="00461E98" w:rsidRDefault="00461E98" w:rsidP="003A58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E98" w:rsidRDefault="00461E98" w:rsidP="003A5812">
      <w:r>
        <w:separator/>
      </w:r>
    </w:p>
  </w:footnote>
  <w:footnote w:type="continuationSeparator" w:id="1">
    <w:p w:rsidR="00461E98" w:rsidRDefault="00461E98" w:rsidP="003A58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74FF"/>
    <w:rsid w:val="000B00BB"/>
    <w:rsid w:val="001E0AC7"/>
    <w:rsid w:val="003A5812"/>
    <w:rsid w:val="00461E98"/>
    <w:rsid w:val="00FD74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4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6D262D"/>
    <w:rPr>
      <w:rFonts w:ascii="宋体" w:eastAsia="宋体" w:hAnsi="Courier New" w:cs="Courier New"/>
      <w:szCs w:val="21"/>
    </w:rPr>
  </w:style>
  <w:style w:type="character" w:customStyle="1" w:styleId="Char">
    <w:name w:val="纯文本 Char"/>
    <w:basedOn w:val="a0"/>
    <w:link w:val="a3"/>
    <w:uiPriority w:val="99"/>
    <w:rsid w:val="006D262D"/>
    <w:rPr>
      <w:rFonts w:ascii="宋体" w:eastAsia="宋体" w:hAnsi="Courier New" w:cs="Courier New"/>
      <w:szCs w:val="21"/>
    </w:rPr>
  </w:style>
  <w:style w:type="paragraph" w:styleId="a4">
    <w:name w:val="header"/>
    <w:basedOn w:val="a"/>
    <w:link w:val="Char0"/>
    <w:uiPriority w:val="99"/>
    <w:semiHidden/>
    <w:unhideWhenUsed/>
    <w:rsid w:val="003A58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A5812"/>
    <w:rPr>
      <w:sz w:val="18"/>
      <w:szCs w:val="18"/>
    </w:rPr>
  </w:style>
  <w:style w:type="paragraph" w:styleId="a5">
    <w:name w:val="footer"/>
    <w:basedOn w:val="a"/>
    <w:link w:val="Char1"/>
    <w:uiPriority w:val="99"/>
    <w:semiHidden/>
    <w:unhideWhenUsed/>
    <w:rsid w:val="003A581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3A5812"/>
    <w:rPr>
      <w:sz w:val="18"/>
      <w:szCs w:val="18"/>
    </w:rPr>
  </w:style>
  <w:style w:type="character" w:styleId="a6">
    <w:name w:val="Hyperlink"/>
    <w:basedOn w:val="a0"/>
    <w:uiPriority w:val="99"/>
    <w:semiHidden/>
    <w:unhideWhenUsed/>
    <w:rsid w:val="003A5812"/>
    <w:rPr>
      <w:strike w:val="0"/>
      <w:dstrike w:val="0"/>
      <w:color w:val="333333"/>
      <w:u w:val="none"/>
      <w:effect w:val="none"/>
    </w:rPr>
  </w:style>
  <w:style w:type="paragraph" w:styleId="a7">
    <w:name w:val="Normal (Web)"/>
    <w:basedOn w:val="a"/>
    <w:uiPriority w:val="99"/>
    <w:semiHidden/>
    <w:unhideWhenUsed/>
    <w:rsid w:val="003A5812"/>
    <w:pPr>
      <w:widowControl/>
      <w:spacing w:before="100" w:beforeAutospacing="1" w:after="100" w:afterAutospacing="1"/>
      <w:jc w:val="left"/>
    </w:pPr>
    <w:rPr>
      <w:rFonts w:ascii="宋体" w:eastAsia="宋体" w:hAnsi="宋体" w:cs="宋体"/>
      <w:kern w:val="0"/>
      <w:sz w:val="24"/>
      <w:szCs w:val="24"/>
    </w:rPr>
  </w:style>
  <w:style w:type="character" w:customStyle="1" w:styleId="font24px1">
    <w:name w:val="font24px1"/>
    <w:basedOn w:val="a0"/>
    <w:rsid w:val="003A5812"/>
    <w:rPr>
      <w:b/>
      <w:bCs/>
      <w:color w:val="333333"/>
      <w:sz w:val="36"/>
      <w:szCs w:val="36"/>
    </w:rPr>
  </w:style>
</w:styles>
</file>

<file path=word/webSettings.xml><?xml version="1.0" encoding="utf-8"?>
<w:webSettings xmlns:r="http://schemas.openxmlformats.org/officeDocument/2006/relationships" xmlns:w="http://schemas.openxmlformats.org/wordprocessingml/2006/main">
  <w:divs>
    <w:div w:id="85663294">
      <w:bodyDiv w:val="1"/>
      <w:marLeft w:val="0"/>
      <w:marRight w:val="0"/>
      <w:marTop w:val="0"/>
      <w:marBottom w:val="0"/>
      <w:divBdr>
        <w:top w:val="none" w:sz="0" w:space="0" w:color="auto"/>
        <w:left w:val="none" w:sz="0" w:space="0" w:color="auto"/>
        <w:bottom w:val="none" w:sz="0" w:space="0" w:color="auto"/>
        <w:right w:val="none" w:sz="0" w:space="0" w:color="auto"/>
      </w:divBdr>
      <w:divsChild>
        <w:div w:id="1408770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setFont('12')" TargetMode="External"/><Relationship Id="rId3" Type="http://schemas.openxmlformats.org/officeDocument/2006/relationships/webSettings" Target="webSettings.xml"/><Relationship Id="rId7" Type="http://schemas.openxmlformats.org/officeDocument/2006/relationships/hyperlink" Target="javascript:setFont('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etFont('1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dcc.gov.cnhttp/www.cdcc.gov.cn/Upload/2017/1/25/b7bd0db3-5f45-4303-ae20-0a93345c005e/&#38468;&#20214;.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348</Words>
  <Characters>1989</Characters>
  <Application>Microsoft Office Word</Application>
  <DocSecurity>0</DocSecurity>
  <Lines>16</Lines>
  <Paragraphs>4</Paragraphs>
  <ScaleCrop>false</ScaleCrop>
  <Company>Hewlett-Packard Company</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2017-03-29T08:20:00Z</dcterms:created>
  <dcterms:modified xsi:type="dcterms:W3CDTF">2017-03-29T08:21:00Z</dcterms:modified>
</cp:coreProperties>
</file>